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8DD85">
      <w:pPr>
        <w:spacing w:after="0" w:line="276" w:lineRule="auto"/>
        <w:ind w:left="-993" w:right="-440" w:rightChars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Π. Σ. Ε.  Ο. Γ. Α.</w:t>
      </w:r>
    </w:p>
    <w:p w14:paraId="3117235D">
      <w:pPr>
        <w:spacing w:after="0" w:line="276" w:lineRule="auto"/>
        <w:ind w:left="-993" w:right="-440" w:rightChars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Π</w:t>
      </w:r>
      <w:r>
        <w:rPr>
          <w:rFonts w:ascii="Times New Roman" w:hAnsi="Times New Roman" w:cs="Times New Roman"/>
          <w:sz w:val="26"/>
          <w:szCs w:val="26"/>
        </w:rPr>
        <w:t>ΑΝΕΛΛΗΝΙΟΣ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Σ</w:t>
      </w:r>
      <w:r>
        <w:rPr>
          <w:rFonts w:ascii="Times New Roman" w:hAnsi="Times New Roman" w:cs="Times New Roman"/>
          <w:sz w:val="26"/>
          <w:szCs w:val="26"/>
        </w:rPr>
        <w:t xml:space="preserve">ΥΛΛΟΓΟΣ </w:t>
      </w:r>
      <w:r>
        <w:rPr>
          <w:rFonts w:ascii="Times New Roman" w:hAnsi="Times New Roman" w:cs="Times New Roman"/>
          <w:b/>
          <w:bCs/>
          <w:sz w:val="32"/>
          <w:szCs w:val="32"/>
        </w:rPr>
        <w:t>Ε</w:t>
      </w:r>
      <w:r>
        <w:rPr>
          <w:rFonts w:ascii="Times New Roman" w:hAnsi="Times New Roman" w:cs="Times New Roman"/>
          <w:sz w:val="26"/>
          <w:szCs w:val="26"/>
        </w:rPr>
        <w:t>ΡΓΑΖΟΜΕΝΩΝ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ΟΓΑ</w:t>
      </w:r>
    </w:p>
    <w:p w14:paraId="5FB47DC6">
      <w:pPr>
        <w:tabs>
          <w:tab w:val="right" w:pos="9498"/>
          <w:tab w:val="right" w:pos="10490"/>
        </w:tabs>
        <w:spacing w:after="0" w:line="276" w:lineRule="auto"/>
        <w:ind w:left="-993" w:right="-440" w:rightChars="0"/>
        <w:jc w:val="center"/>
        <w:rPr>
          <w:rFonts w:ascii="Times New Roman" w:hAnsi="Times New Roman" w:cs="Times New Roman"/>
          <w:b/>
          <w:bCs/>
          <w:i w:val="0"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 w:val="0"/>
          <w:iCs/>
          <w:sz w:val="25"/>
          <w:szCs w:val="25"/>
        </w:rPr>
        <w:t>(ΟΠΕΚΑ – ΕΦΚΑ)</w:t>
      </w:r>
    </w:p>
    <w:p w14:paraId="3FBCD705">
      <w:pPr>
        <w:tabs>
          <w:tab w:val="right" w:pos="10490"/>
        </w:tabs>
        <w:spacing w:after="0" w:line="240" w:lineRule="auto"/>
        <w:ind w:left="-993" w:right="-440" w:rightChars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Πατησίων 30, 101 70 Αθήνα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>τ</w:t>
      </w:r>
      <w:r>
        <w:rPr>
          <w:rFonts w:ascii="Times New Roman" w:hAnsi="Times New Roman" w:cs="Times New Roman"/>
          <w:sz w:val="26"/>
          <w:szCs w:val="26"/>
        </w:rPr>
        <w:t>ηλ.: 213.15.19.112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email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: </w:t>
      </w:r>
      <w:r>
        <w:fldChar w:fldCharType="begin"/>
      </w:r>
      <w:r>
        <w:instrText xml:space="preserve"> HYPERLINK "mailto:pse.oga@gmail.com"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pse.oga@gmail.com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1C2B4852">
      <w:pPr>
        <w:tabs>
          <w:tab w:val="right" w:pos="10490"/>
        </w:tabs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sz w:val="26"/>
          <w:szCs w:val="26"/>
          <w:lang w:val="el-GR"/>
        </w:rPr>
        <w:t>------------------------------------------------------------------------</w:t>
      </w:r>
    </w:p>
    <w:p w14:paraId="3907C863">
      <w:pPr>
        <w:tabs>
          <w:tab w:val="right" w:pos="10490"/>
        </w:tabs>
        <w:spacing w:after="0" w:line="240" w:lineRule="auto"/>
        <w:ind w:left="-993" w:right="-440" w:rightChars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  <w:lang w:val="el-GR"/>
        </w:rPr>
        <w:t>Αθήνα, 1 Δεκεμβρίου 2024</w:t>
      </w:r>
    </w:p>
    <w:p w14:paraId="4279918F">
      <w:pPr>
        <w:tabs>
          <w:tab w:val="right" w:pos="10490"/>
        </w:tabs>
        <w:spacing w:after="0" w:line="240" w:lineRule="auto"/>
        <w:ind w:left="-993" w:right="-440" w:rightChars="0"/>
        <w:jc w:val="right"/>
        <w:rPr>
          <w:rFonts w:hint="default" w:ascii="Times New Roman" w:hAnsi="Times New Roman" w:cs="Times New Roman"/>
          <w:b w:val="0"/>
          <w:bCs w:val="0"/>
          <w:i/>
          <w:iCs/>
          <w:sz w:val="10"/>
          <w:szCs w:val="10"/>
          <w:lang w:val="el-GR"/>
        </w:rPr>
      </w:pPr>
    </w:p>
    <w:p w14:paraId="57B08FEB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  <w:t>Τα ξωτικά-μέλη του Δ.Σ. του Πανελληνίου Συλλόγου Εργαζομένων ΟΓΑ &amp; τα μέλη του συλλόγου,</w:t>
      </w:r>
    </w:p>
    <w:p w14:paraId="15C85E7B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  <w:t>από την Κομοτηνή μέχρι το Ηράκλειο Κρήτης και από τα Ιωάννινα μέχρι τη Λαμία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>,</w:t>
      </w:r>
    </w:p>
    <w:p w14:paraId="15494515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  <w:t>προετοιμαζόμαστε για τις γιορτές των Χριστουγέννων &amp; της Πρωτοχρονιάς</w:t>
      </w:r>
    </w:p>
    <w:p w14:paraId="633D01A6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  <w:t>με ενσυναίσθηση, συμπερίληψη και αισιοδοξία</w:t>
      </w:r>
    </w:p>
    <w:p w14:paraId="2EF717D6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l-GR"/>
        </w:rPr>
        <w:t>για ένα καλύτερο αύριο για μας και τα παιδιά μας!</w:t>
      </w:r>
    </w:p>
    <w:p w14:paraId="3AF0F5EC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10"/>
          <w:szCs w:val="10"/>
          <w:lang w:val="el-GR"/>
        </w:rPr>
      </w:pPr>
    </w:p>
    <w:p w14:paraId="5D64EB88">
      <w:pPr>
        <w:spacing w:after="0" w:line="240" w:lineRule="auto"/>
        <w:ind w:left="-993" w:right="-440" w:rightChars="0"/>
        <w:jc w:val="center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l-GR"/>
        </w:rPr>
        <w:t>Πρόγραμμα Δράσεων</w:t>
      </w:r>
    </w:p>
    <w:p w14:paraId="5BB0F4E7">
      <w:pPr>
        <w:tabs>
          <w:tab w:val="right" w:pos="10490"/>
        </w:tabs>
        <w:spacing w:after="0" w:line="240" w:lineRule="auto"/>
        <w:ind w:left="-993" w:right="-908"/>
        <w:jc w:val="center"/>
        <w:rPr>
          <w:rFonts w:hint="default" w:ascii="Times New Roman" w:hAnsi="Times New Roman" w:cs="Times New Roman"/>
          <w:b/>
          <w:bCs/>
          <w:i/>
          <w:iCs/>
          <w:sz w:val="10"/>
          <w:szCs w:val="10"/>
          <w:lang w:val="el-GR"/>
        </w:rPr>
      </w:pPr>
    </w:p>
    <w:tbl>
      <w:tblPr>
        <w:tblStyle w:val="5"/>
        <w:tblW w:w="10120" w:type="dxa"/>
        <w:tblInd w:w="-688" w:type="dxa"/>
        <w:tblBorders>
          <w:top w:val="single" w:color="375623" w:themeColor="accent6" w:themeShade="7F" w:sz="18" w:space="0"/>
          <w:left w:val="single" w:color="375623" w:themeColor="accent6" w:themeShade="7F" w:sz="18" w:space="0"/>
          <w:bottom w:val="single" w:color="375623" w:themeColor="accent6" w:themeShade="7F" w:sz="18" w:space="0"/>
          <w:right w:val="single" w:color="375623" w:themeColor="accent6" w:themeShade="7F" w:sz="18" w:space="0"/>
          <w:insideH w:val="none" w:color="auto" w:sz="0" w:space="0"/>
          <w:insideV w:val="single" w:color="375623" w:themeColor="accent6" w:themeShade="7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48"/>
      </w:tblGrid>
      <w:tr w14:paraId="629E376F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120" w:type="dxa"/>
            <w:gridSpan w:val="2"/>
            <w:tcBorders>
              <w:tl2br w:val="nil"/>
              <w:tr2bl w:val="nil"/>
            </w:tcBorders>
            <w:shd w:val="clear" w:color="auto" w:fill="375623" w:themeFill="accent6" w:themeFillShade="7F"/>
          </w:tcPr>
          <w:p w14:paraId="6DDF72C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vertAlign w:val="baseline"/>
                <w:lang w:val="el-GR"/>
              </w:rPr>
            </w:pPr>
          </w:p>
        </w:tc>
      </w:tr>
      <w:tr w14:paraId="212250E8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2" w:type="dxa"/>
            <w:vMerge w:val="restart"/>
            <w:tcBorders>
              <w:tl2br w:val="nil"/>
              <w:tr2bl w:val="nil"/>
            </w:tcBorders>
          </w:tcPr>
          <w:p w14:paraId="11CD9EF1">
            <w:pPr>
              <w:widowControl w:val="0"/>
              <w:tabs>
                <w:tab w:val="right" w:pos="10490"/>
              </w:tabs>
              <w:spacing w:after="0" w:line="240" w:lineRule="auto"/>
              <w:ind w:right="22" w:rightChars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2672080</wp:posOffset>
                  </wp:positionV>
                  <wp:extent cx="1598930" cy="2020570"/>
                  <wp:effectExtent l="0" t="0" r="1270" b="17780"/>
                  <wp:wrapSquare wrapText="bothSides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649" t="5090" r="6918" b="12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202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137160</wp:posOffset>
                  </wp:positionV>
                  <wp:extent cx="1673225" cy="2425700"/>
                  <wp:effectExtent l="0" t="0" r="3175" b="12700"/>
                  <wp:wrapSquare wrapText="bothSides"/>
                  <wp:docPr id="1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242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6B0ADE">
            <w:pPr>
              <w:widowControl w:val="0"/>
              <w:tabs>
                <w:tab w:val="right" w:pos="10490"/>
              </w:tabs>
              <w:spacing w:after="0" w:line="240" w:lineRule="auto"/>
              <w:ind w:right="22" w:rightChars="0"/>
              <w:jc w:val="center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51965" cy="1865630"/>
                  <wp:effectExtent l="0" t="0" r="635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186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02729">
            <w:pPr>
              <w:widowControl w:val="0"/>
              <w:tabs>
                <w:tab w:val="right" w:pos="10490"/>
              </w:tabs>
              <w:spacing w:after="0" w:line="240" w:lineRule="auto"/>
              <w:ind w:right="22" w:rightChars="0"/>
              <w:jc w:val="center"/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84630" cy="1981835"/>
                  <wp:effectExtent l="0" t="0" r="1270" b="18415"/>
                  <wp:docPr id="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98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tcBorders>
              <w:tl2br w:val="nil"/>
              <w:tr2bl w:val="nil"/>
            </w:tcBorders>
          </w:tcPr>
          <w:p w14:paraId="4EB2632C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u w:val="none"/>
                <w:vertAlign w:val="baseline"/>
                <w:lang w:val="el-GR"/>
              </w:rPr>
            </w:pPr>
          </w:p>
          <w:p w14:paraId="2789496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  <w:t>Από Δευτέρα 2/12 έως Δευτέρα 9/12</w:t>
            </w:r>
          </w:p>
        </w:tc>
      </w:tr>
      <w:tr w14:paraId="7AFA5DC2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050938C8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</w:tcPr>
          <w:p w14:paraId="618799FC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Ενισχύουμε το κοινωνικό έργο του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Λύρειου Παιδικού Ιδρύματος «Οι Άγιοι Ανάργυροι» (περιοχή Μάτι Αττικής)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με αποστολή ειδών που καλύπτουν βασικές ανάγκες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σύμφωνα με επικαιροποιημένη λίστα αναγκών του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Συγκεντρώνουμε στα γραφεία του Συλλόγου στην Αθήνα (Πατησίων 30, 5ος όροφος, γραφ. 510)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από 2/12 έως και 9/12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vertAlign w:val="baseline"/>
                <w:lang w:val="el-GR"/>
              </w:rPr>
              <w:t>αποκλειστικά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συσκευασίες δημητριακών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corn flakes)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, γάλα εβαπορέ, μπισκότα και νιφάδες πατάτας.</w:t>
            </w:r>
          </w:p>
          <w:p w14:paraId="2078B5D5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instrText xml:space="preserve"> HYPERLINK "https://www.theotokos.gr" </w:instrTex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t>https://www.</w:t>
            </w:r>
            <w:r>
              <w:rPr>
                <w:rStyle w:val="4"/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lyreioidryma</w:t>
            </w:r>
            <w:r>
              <w:rPr>
                <w:rStyle w:val="4"/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t>.gr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fldChar w:fldCharType="end"/>
            </w:r>
          </w:p>
          <w:p w14:paraId="36F4DD1F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385724" w:themeColor="accent6" w:themeShade="8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385724" w:themeColor="accent6" w:themeShade="80"/>
                <w:sz w:val="24"/>
                <w:szCs w:val="24"/>
                <w:vertAlign w:val="baseline"/>
                <w:lang w:val="el-GR"/>
              </w:rPr>
              <w:t>* Παραδίδουμε σε χρόνο που θα μας ορίσει το Ίδρυμα μαζί με όσους συναδέλφους επιθυμούν να συμμετάσχουν.</w:t>
            </w:r>
          </w:p>
          <w:p w14:paraId="77FF7C03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0"/>
                <w:szCs w:val="10"/>
                <w:vertAlign w:val="baseline"/>
                <w:lang w:val="el-GR"/>
              </w:rPr>
            </w:pPr>
          </w:p>
        </w:tc>
      </w:tr>
      <w:tr w14:paraId="452EC67D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2EFAAEE4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C00000"/>
            <w:vAlign w:val="top"/>
          </w:tcPr>
          <w:p w14:paraId="7105FBB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vertAlign w:val="baseline"/>
                <w:lang w:val="el-GR"/>
              </w:rPr>
            </w:pPr>
          </w:p>
        </w:tc>
      </w:tr>
      <w:tr w14:paraId="7BB1EB79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007B3EEC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6BF786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u w:val="none"/>
                <w:vertAlign w:val="baseline"/>
                <w:lang w:val="el-GR"/>
              </w:rPr>
            </w:pPr>
          </w:p>
          <w:p w14:paraId="74B7267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  <w:t>Από Δευτέρα 2/12 έως Δευτέρα 9/12</w:t>
            </w:r>
          </w:p>
        </w:tc>
      </w:tr>
      <w:tr w14:paraId="37557217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059A79CB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1F4A8D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Συγκέντρωση πλαστικών καπακιών στο κεντρικό κτήριο Υπηρεσιών του ΟΠΕΚΑ (Πατησίων 30)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μέχρι και τις 9/12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και παράδοσή τους στο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Τμήμα Ανακύκλωσης του κοινωφελούς, μη κερδοσκοπικού χαρακτήρα,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Ιδρύματος Προστασίας Παιδιών και Νέων με αναπτυξιακές διαταραχές «Η Θεοτόκος»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(Ίλιον)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για την αγορά αναπηρικού αμαξιδίου.</w:t>
            </w:r>
          </w:p>
          <w:p w14:paraId="40778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4" w:rightChars="0"/>
              <w:jc w:val="both"/>
              <w:textAlignment w:val="auto"/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instrText xml:space="preserve"> HYPERLINK "https://www.theotokos.gr" </w:instrTex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t>https://www.theotokos.gr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l-GR"/>
              </w:rPr>
              <w:fldChar w:fldCharType="end"/>
            </w:r>
          </w:p>
          <w:p w14:paraId="55EE7DF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385724" w:themeColor="accent6" w:themeShade="8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385724" w:themeColor="accent6" w:themeShade="80"/>
                <w:sz w:val="24"/>
                <w:szCs w:val="24"/>
                <w:vertAlign w:val="baseline"/>
                <w:lang w:val="el-GR"/>
              </w:rPr>
              <w:t>* Παραδίδουμε σε χρόνο που θα μας ορίσει το Ίδρυμα μαζί με όσους συναδέλφους επιθυμούν να συμμετάσχουν.</w:t>
            </w:r>
          </w:p>
          <w:p w14:paraId="6B18C957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385724" w:themeColor="accent6" w:themeShade="80"/>
                <w:sz w:val="10"/>
                <w:szCs w:val="10"/>
                <w:vertAlign w:val="baseline"/>
                <w:lang w:val="el-GR" w:eastAsia="en-US"/>
              </w:rPr>
            </w:pPr>
          </w:p>
        </w:tc>
      </w:tr>
      <w:tr w14:paraId="050344A2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15F0EE5E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375623" w:themeFill="accent6" w:themeFillShade="7F"/>
          </w:tcPr>
          <w:p w14:paraId="13E0EE4C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</w:tr>
      <w:tr w14:paraId="69A4CC26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4A668FB0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</w:tcPr>
          <w:p w14:paraId="0E97CF74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u w:val="none"/>
                <w:vertAlign w:val="baseline"/>
                <w:lang w:val="el-GR"/>
              </w:rPr>
            </w:pPr>
          </w:p>
          <w:p w14:paraId="084661B6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  <w:t>Παρασκευή 13/12</w:t>
            </w:r>
          </w:p>
        </w:tc>
      </w:tr>
      <w:tr w14:paraId="45D5B518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196911C1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</w:tcPr>
          <w:p w14:paraId="1929C3F9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Μοιράζουμε, όπως κάθε χρόνο, τα χριστουγεννιάτικα δώρα του Συλλόγου για τα παιδιά των συναδέλφων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από τη 1 μ.μ. έως τις 3 μ.μ.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στην Αθήνα και σε όλη την Περιφέρεια!</w:t>
            </w:r>
          </w:p>
          <w:p w14:paraId="3C38974F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  <w:vertAlign w:val="baseline"/>
                <w:lang w:val="el-GR"/>
              </w:rPr>
            </w:pPr>
          </w:p>
        </w:tc>
      </w:tr>
      <w:tr w14:paraId="165A25E8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43587CF8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C00000"/>
          </w:tcPr>
          <w:p w14:paraId="4E34CC92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</w:p>
        </w:tc>
      </w:tr>
      <w:tr w14:paraId="6949D29D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3434C46B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vAlign w:val="top"/>
          </w:tcPr>
          <w:p w14:paraId="1ECDCB8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vertAlign w:val="baseline"/>
                <w:lang w:val="el-GR"/>
              </w:rPr>
            </w:pPr>
          </w:p>
          <w:p w14:paraId="6607AF70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u w:val="none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  <w:t>Σάββατο 14/12</w:t>
            </w:r>
          </w:p>
          <w:p w14:paraId="278A1DC8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Πινέλα, χρώματα, φαντασία και φύγαμε!</w:t>
            </w:r>
          </w:p>
          <w:p w14:paraId="495BFDF3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Κατασκευάζουμε με τους μικρούς μας φίλους (έως 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ετών) χριστουγεννιάτικα ρόδια στον χώρο των μηχανημάτων πλησίον του Πρατηρίου του Συνεταιρισμού (στοά Πατησίων 30) το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Σάββατο 14/12, από τις 11 π.μ. έως τις 2 μ.μ.</w:t>
            </w:r>
          </w:p>
          <w:p w14:paraId="50EA9432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10"/>
                <w:szCs w:val="10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l-GR"/>
              </w:rPr>
              <w:t>* Οι συμμετέχοντες φίλοι μας θα φέρουν μαζί μόνο το χαμόγελό τους!</w:t>
            </w:r>
          </w:p>
        </w:tc>
      </w:tr>
      <w:tr w14:paraId="6434B69C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73C294B6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375623" w:themeFill="accent6" w:themeFillShade="7F"/>
            <w:vAlign w:val="top"/>
          </w:tcPr>
          <w:p w14:paraId="16952A82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  <w:lang w:val="el-GR"/>
              </w:rPr>
            </w:pPr>
          </w:p>
        </w:tc>
      </w:tr>
      <w:tr w14:paraId="7C422EB1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3DD8D274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</w:tcPr>
          <w:p w14:paraId="51EE8828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vertAlign w:val="baseline"/>
                <w:lang w:val="el-GR"/>
              </w:rPr>
            </w:pPr>
          </w:p>
          <w:p w14:paraId="7975A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4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"/>
                <w:szCs w:val="2"/>
                <w:vertAlign w:val="baseline"/>
                <w:lang w:val="el-GR"/>
              </w:rPr>
            </w:pPr>
          </w:p>
          <w:p w14:paraId="3BF0CC9E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  <w:t>Πέμπτη 19/12</w:t>
            </w:r>
          </w:p>
          <w:p w14:paraId="6C826FB5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u w:val="none"/>
                <w:vertAlign w:val="baseline"/>
                <w:lang w:val="el-GR"/>
              </w:rPr>
            </w:pPr>
          </w:p>
          <w:p w14:paraId="3F1E9084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α.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Βραβεύουμε τους επιτυχόντες στην Γ/βάθμια Εκπαίδευση στα γραφεία του Συλλόγου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l-G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στη 1 μ.μ.,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με ευχές σε γονείς και φοιτητές! Φέτος οι επιτυχόντες για το ακαδημαϊκό έτος 2024-2025 θα λάβουν το ποσό των 100€ σε μετρητά!</w:t>
            </w:r>
          </w:p>
          <w:p w14:paraId="0CB22F16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  <w:vertAlign w:val="baseline"/>
                <w:lang w:val="el-GR"/>
              </w:rPr>
            </w:pPr>
          </w:p>
          <w:p w14:paraId="28632E42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β.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Κερνάμε χριστουγεννιάτικα γλυκά και ανταλλάσσουμε αγκαλιές σε όλες τις υπηρεσιακές μονάδες, σε Αθήνα &amp; Περιφέρεια, στις 2 μ.μ.</w:t>
            </w:r>
          </w:p>
          <w:p w14:paraId="5B7BEC6C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  <w:vertAlign w:val="baseline"/>
                <w:lang w:val="el-GR"/>
              </w:rPr>
            </w:pPr>
          </w:p>
          <w:p w14:paraId="3E8AD181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γ.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 Διανομή Ημερολογίων έτους 2025 του Κυριακάτικου Σχολείου Μεταναστών.</w:t>
            </w:r>
          </w:p>
        </w:tc>
      </w:tr>
      <w:tr w14:paraId="44918C65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72" w:type="dxa"/>
            <w:vMerge w:val="restart"/>
            <w:tcBorders>
              <w:tl2br w:val="nil"/>
              <w:tr2bl w:val="nil"/>
            </w:tcBorders>
          </w:tcPr>
          <w:p w14:paraId="5DEADE53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47520" cy="2628900"/>
                  <wp:effectExtent l="0" t="0" r="5080" b="0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3725" t="10909" r="13373" b="11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C00000"/>
          </w:tcPr>
          <w:p w14:paraId="27D5F25D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</w:tr>
      <w:tr w14:paraId="123D0ACE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972" w:type="dxa"/>
            <w:vMerge w:val="continue"/>
            <w:tcBorders>
              <w:tl2br w:val="nil"/>
              <w:tr2bl w:val="nil"/>
            </w:tcBorders>
          </w:tcPr>
          <w:p w14:paraId="3C87A080">
            <w:pPr>
              <w:widowControl w:val="0"/>
              <w:tabs>
                <w:tab w:val="right" w:pos="10490"/>
              </w:tabs>
              <w:spacing w:after="0" w:line="240" w:lineRule="auto"/>
              <w:ind w:right="-9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baseline"/>
                <w:lang w:val="el-GR"/>
              </w:rPr>
            </w:pPr>
          </w:p>
        </w:tc>
        <w:tc>
          <w:tcPr>
            <w:tcW w:w="71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C48E2CB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10"/>
                <w:szCs w:val="10"/>
                <w:vertAlign w:val="baseline"/>
                <w:lang w:val="el-GR"/>
              </w:rPr>
            </w:pPr>
          </w:p>
          <w:p w14:paraId="146EA234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vertAlign w:val="baseline"/>
                <w:lang w:val="el-GR"/>
              </w:rPr>
              <w:t>Κυριακή 22/12</w:t>
            </w:r>
          </w:p>
          <w:p w14:paraId="18FE0680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 xml:space="preserve">Μαγειρεύουμε μαζί με τον κ. Δημήτρη Καρκανοραχάκη («Δράση για τον Άνθρωπο») στην ταβέρνα «Ο Κρητικός» (Γαληνού 15, Κερατσίνι - Αμφιάλη) και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l-GR"/>
              </w:rPr>
              <w:t>προσφέρουμε ένα πλήρες χριστουγεννιάτικο γεύμα σε 500 συνανθρώπους μας σε ανάγκη την ίδια ημέρα.</w:t>
            </w:r>
          </w:p>
          <w:p w14:paraId="64FAD9A6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Ώρα προσέλευσης μελών-εθελοντών: 16:30-17:00.</w:t>
            </w:r>
          </w:p>
          <w:p w14:paraId="1BC6036E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l-GR"/>
              </w:rPr>
              <w:t>Διανομή γευμάτων: 18:00.</w:t>
            </w:r>
          </w:p>
          <w:p w14:paraId="60D4F07A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  <w:vertAlign w:val="baseline"/>
                <w:lang w:val="el-GR"/>
              </w:rPr>
            </w:pPr>
          </w:p>
          <w:p w14:paraId="6C54D13F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l-GR"/>
              </w:rPr>
              <w:t>* Η δαπάνη παρασκευής του γεύματος θα καλυφθεί εξ ολοκλήρου από τον Σύλλογο - ειδικότερα, με το ποσό που μας αποδόθηκε ως έσοδα από την ανταποδοτική ανακύκλωση πλαστικών και μεταλλικών συσκευασιών στο κτήριο επί της Πατησίων 30 για τους μήνες 5ος-10ος/2024.</w:t>
            </w:r>
          </w:p>
          <w:p w14:paraId="13B7DF03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l-GR"/>
              </w:rPr>
              <w:t>* Το εορταστικό γεύμα θα περιλαμβάνει χοιρινό με κριθαράκι, σαλάτα και χριστουγεννιάτικο γλυκάκι!</w:t>
            </w:r>
          </w:p>
        </w:tc>
      </w:tr>
      <w:tr w14:paraId="4F14B5A0">
        <w:tblPrEx>
          <w:tblBorders>
            <w:top w:val="single" w:color="375623" w:themeColor="accent6" w:themeShade="7F" w:sz="18" w:space="0"/>
            <w:left w:val="single" w:color="375623" w:themeColor="accent6" w:themeShade="7F" w:sz="18" w:space="0"/>
            <w:bottom w:val="single" w:color="375623" w:themeColor="accent6" w:themeShade="7F" w:sz="18" w:space="0"/>
            <w:right w:val="single" w:color="375623" w:themeColor="accent6" w:themeShade="7F" w:sz="18" w:space="0"/>
            <w:insideH w:val="none" w:color="auto" w:sz="0" w:space="0"/>
            <w:insideV w:val="single" w:color="375623" w:themeColor="accent6" w:themeShade="7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120" w:type="dxa"/>
            <w:gridSpan w:val="2"/>
            <w:tcBorders>
              <w:tl2br w:val="nil"/>
              <w:tr2bl w:val="nil"/>
            </w:tcBorders>
            <w:shd w:val="clear" w:color="auto" w:fill="375623" w:themeFill="accent6" w:themeFillShade="7F"/>
          </w:tcPr>
          <w:p w14:paraId="4321D935">
            <w:pPr>
              <w:widowControl w:val="0"/>
              <w:spacing w:after="0" w:line="240" w:lineRule="auto"/>
              <w:ind w:right="34" w:rightChars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i/>
                <w:iCs/>
                <w:sz w:val="26"/>
                <w:szCs w:val="26"/>
                <w:vertAlign w:val="baseline"/>
                <w:lang w:val="el-GR" w:eastAsia="en-US" w:bidi="ar-SA"/>
              </w:rPr>
            </w:pPr>
          </w:p>
        </w:tc>
      </w:tr>
    </w:tbl>
    <w:p w14:paraId="1CABA7D4">
      <w:pPr>
        <w:tabs>
          <w:tab w:val="right" w:pos="10490"/>
        </w:tabs>
        <w:spacing w:after="0" w:line="240" w:lineRule="auto"/>
        <w:ind w:left="-993" w:right="-908"/>
        <w:jc w:val="center"/>
        <w:rPr>
          <w:rFonts w:hint="default" w:ascii="Times New Roman" w:hAnsi="Times New Roman" w:cs="Times New Roman"/>
          <w:b/>
          <w:bCs/>
          <w:i/>
          <w:iCs/>
          <w:sz w:val="4"/>
          <w:szCs w:val="4"/>
          <w:lang w:val="el-GR"/>
        </w:rPr>
      </w:pPr>
    </w:p>
    <w:p w14:paraId="795838D1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sz w:val="10"/>
          <w:szCs w:val="10"/>
          <w:lang w:val="el-GR"/>
        </w:rPr>
      </w:pPr>
    </w:p>
    <w:p w14:paraId="2947213F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* Για όλες τις δράσεις (εθελοντική συμμετοχή στην προετοιμασία του χριστουγεννιάτικου γεύματος στην ταβέρνα «Ο Κρητικός», επίσκεψη στο Λύρειο Ίδρυμα και στο Ίδρυμα «Η Θεοτόκος», παραλαβή/αποστολή Ημερολογίου έτους 2025 του Κυριακάτικου Σχολείου Μεταναστών, συμμετοχή στο παιδικό εργαστήρι χριστουγεννιάτικων κατασκευών) παρακαλείσθε να αποστείλετε μήνυμα ηλεκτρονικού ταχυδρομείου στο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pse.oga@gmail.com.</w:t>
      </w:r>
    </w:p>
    <w:p w14:paraId="2675448D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10"/>
          <w:szCs w:val="10"/>
          <w:lang w:val="el-GR"/>
        </w:rPr>
      </w:pPr>
    </w:p>
    <w:p w14:paraId="47410E4E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  <w:lang w:val="el-GR"/>
        </w:rPr>
        <w:t xml:space="preserve">* Οι συνάδελφοι που υπηρετούν στην Περιφέρεια μπορούν να αποστείλουν τη βοήθειά τους ανά Περιφερειακή Διεύθυνση για το Λύρειο Ίδρυμα μέσω ΚΤΕΛ με επιβάρυνση παραλήπτη (ΠΣΕ ΟΓΑ)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l-GR"/>
        </w:rPr>
        <w:t>το αργότερο μέχρι την Παρασκευή 6/12.</w:t>
      </w:r>
    </w:p>
    <w:p w14:paraId="4528E935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sz w:val="10"/>
          <w:szCs w:val="10"/>
          <w:lang w:val="el-GR"/>
        </w:rPr>
      </w:pPr>
    </w:p>
    <w:p w14:paraId="020EE4BD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sz w:val="26"/>
          <w:szCs w:val="26"/>
          <w:lang w:val="el-GR"/>
        </w:rPr>
        <w:t>* Όσον αφορά στη βράβευση των επιτυχόντων στην Τριτοβάθμια Εκπαίδευση, παρακαλείστε να αποστείλετε ΙΒΑΝ τραπεζικού λογαριασμού (κατά προτίμηση της Τράπεζας Πειραιώς) με δικαιούχο ή συνδικαιούχο τον επιτυχόντα ή τον γονέα-μέλος του Συλλόγου.</w:t>
      </w:r>
    </w:p>
    <w:p w14:paraId="15D67839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/>
          <w:bCs/>
          <w:sz w:val="10"/>
          <w:szCs w:val="10"/>
          <w:lang w:val="el-GR"/>
        </w:rPr>
      </w:pPr>
    </w:p>
    <w:p w14:paraId="31E8F76F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  <w:t>* Επιπροσθέτως προγραμματίζεται η αγορά 50 μονών προσκλήσεων για θεατρικές σκηνές της Αθήνας, του Πειραιά και της Περιφέρειας εντός των επόμενων ημερών. Για την εκδήλωση ενδιαφέροντος θα ενημερωθείτε αναλυτικά το αμέσως προσεχές διάστημα.</w:t>
      </w:r>
    </w:p>
    <w:p w14:paraId="0CCD7F3E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/>
          <w:bCs/>
          <w:sz w:val="10"/>
          <w:szCs w:val="10"/>
          <w:lang w:val="el-GR"/>
        </w:rPr>
      </w:pPr>
    </w:p>
    <w:p w14:paraId="3CA7A4DC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l-GR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i/>
          <w:iCs/>
          <w:sz w:val="26"/>
          <w:szCs w:val="26"/>
          <w:lang w:val="el-GR"/>
        </w:rPr>
        <w:t>http://www.syllogosipirotonkozanis.gr/content/parko-ipeiroton</w:t>
      </w:r>
    </w:p>
    <w:p w14:paraId="3D720796">
      <w:pPr>
        <w:tabs>
          <w:tab w:val="right" w:pos="10490"/>
        </w:tabs>
        <w:spacing w:after="0" w:line="240" w:lineRule="auto"/>
        <w:ind w:left="-993" w:right="-660" w:rightChars="0"/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lang w:val="el-GR"/>
        </w:rPr>
      </w:pPr>
    </w:p>
    <w:p w14:paraId="03F4F019">
      <w:pPr>
        <w:spacing w:after="0" w:line="276" w:lineRule="auto"/>
        <w:ind w:left="-993" w:right="-660" w:rightChars="0"/>
        <w:jc w:val="center"/>
        <w:rPr>
          <w:rFonts w:hint="default" w:ascii="Times New Roman" w:hAnsi="Times New Roman" w:cs="Times New Roman"/>
          <w:b/>
          <w:bCs/>
          <w:sz w:val="27"/>
          <w:szCs w:val="27"/>
          <w:lang w:val="el-GR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el-GR"/>
        </w:rPr>
        <w:t>Το</w:t>
      </w:r>
      <w:r>
        <w:rPr>
          <w:rFonts w:hint="default" w:ascii="Times New Roman" w:hAnsi="Times New Roman" w:cs="Times New Roman"/>
          <w:b/>
          <w:bCs/>
          <w:sz w:val="27"/>
          <w:szCs w:val="27"/>
          <w:lang w:val="el-GR"/>
        </w:rPr>
        <w:t xml:space="preserve"> Δ.Σ. του ΠΣΕ ΟΓΑ</w:t>
      </w:r>
    </w:p>
    <w:p w14:paraId="2C3B5FF3">
      <w:pPr>
        <w:spacing w:after="0" w:line="276" w:lineRule="auto"/>
        <w:ind w:left="-993" w:right="-660" w:right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vertAlign w:val="baseline"/>
          <w:lang w:val="el-GR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el-GR"/>
        </w:rPr>
        <w:t>(ΟΠΕΚΑ - ΕΦΚΑ)</w:t>
      </w:r>
    </w:p>
    <w:sectPr>
      <w:pgSz w:w="11906" w:h="16838"/>
      <w:pgMar w:top="533" w:right="1306" w:bottom="533" w:left="1800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81"/>
    <w:rsid w:val="00082595"/>
    <w:rsid w:val="002D1CE1"/>
    <w:rsid w:val="00385D6E"/>
    <w:rsid w:val="00501F24"/>
    <w:rsid w:val="005F2AAE"/>
    <w:rsid w:val="00616B7B"/>
    <w:rsid w:val="00695DCF"/>
    <w:rsid w:val="00696AD2"/>
    <w:rsid w:val="007644A7"/>
    <w:rsid w:val="009E5BA5"/>
    <w:rsid w:val="00C20781"/>
    <w:rsid w:val="00DC70DB"/>
    <w:rsid w:val="00E11CDD"/>
    <w:rsid w:val="00F14FD7"/>
    <w:rsid w:val="00F92C2D"/>
    <w:rsid w:val="00FE6EC3"/>
    <w:rsid w:val="00FF6877"/>
    <w:rsid w:val="094677B8"/>
    <w:rsid w:val="09625F15"/>
    <w:rsid w:val="0BCF71CB"/>
    <w:rsid w:val="139D4CEB"/>
    <w:rsid w:val="28170C0F"/>
    <w:rsid w:val="32262752"/>
    <w:rsid w:val="48791073"/>
    <w:rsid w:val="4D1C4610"/>
    <w:rsid w:val="5B386B34"/>
    <w:rsid w:val="7A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3866</Characters>
  <Lines>32</Lines>
  <Paragraphs>9</Paragraphs>
  <TotalTime>17</TotalTime>
  <ScaleCrop>false</ScaleCrop>
  <LinksUpToDate>false</LinksUpToDate>
  <CharactersWithSpaces>4572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2022-03-27T15:45:00Z</dcterms:created>
  <dc:creator>Nota Basilopoulou</dc:creator>
  <cp:lastModifiedBy>Νότα Βασιλοπούλ�</cp:lastModifiedBy>
  <cp:lastPrinted>2024-11-30T19:15:00Z</cp:lastPrinted>
  <dcterms:modified xsi:type="dcterms:W3CDTF">2024-12-15T06:13:06Z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AB7537A065CA4DBC96FF1D868C534685_13</vt:lpwstr>
  </property>
</Properties>
</file>